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9C4647" w:rsidRPr="002B630A" w:rsidTr="00C116C8">
        <w:tc>
          <w:tcPr>
            <w:tcW w:w="9209" w:type="dxa"/>
            <w:gridSpan w:val="4"/>
          </w:tcPr>
          <w:p w:rsidR="009C4647" w:rsidRDefault="009C4647" w:rsidP="004972D5">
            <w:pPr>
              <w:rPr>
                <w:b/>
                <w:sz w:val="20"/>
                <w:szCs w:val="20"/>
              </w:rPr>
            </w:pPr>
            <w:r w:rsidRPr="002B630A">
              <w:rPr>
                <w:b/>
                <w:sz w:val="20"/>
                <w:szCs w:val="20"/>
              </w:rPr>
              <w:t>Continuing Non</w:t>
            </w:r>
            <w:r w:rsidR="00F15B60">
              <w:rPr>
                <w:b/>
                <w:sz w:val="20"/>
                <w:szCs w:val="20"/>
              </w:rPr>
              <w:t>-S</w:t>
            </w:r>
            <w:r w:rsidRPr="002B630A">
              <w:rPr>
                <w:b/>
                <w:sz w:val="20"/>
                <w:szCs w:val="20"/>
              </w:rPr>
              <w:t>tatutory Service  (Proposed Base Budget Reduction Targets)</w:t>
            </w:r>
            <w:r w:rsidR="00B819B1">
              <w:rPr>
                <w:b/>
                <w:sz w:val="20"/>
                <w:szCs w:val="20"/>
              </w:rPr>
              <w:t xml:space="preserve"> – Template 3</w:t>
            </w:r>
          </w:p>
          <w:p w:rsidR="0066742C" w:rsidRPr="00312F09" w:rsidRDefault="007856F9" w:rsidP="009304C0">
            <w:pPr>
              <w:rPr>
                <w:b/>
                <w:sz w:val="20"/>
                <w:szCs w:val="20"/>
              </w:rPr>
            </w:pPr>
            <w:r>
              <w:rPr>
                <w:b/>
                <w:sz w:val="20"/>
                <w:szCs w:val="20"/>
              </w:rPr>
              <w:t>BOP 042</w:t>
            </w:r>
          </w:p>
        </w:tc>
      </w:tr>
      <w:tr w:rsidR="009C4647" w:rsidRPr="002B630A" w:rsidTr="005309E8">
        <w:trPr>
          <w:trHeight w:val="635"/>
        </w:trPr>
        <w:tc>
          <w:tcPr>
            <w:tcW w:w="3256" w:type="dxa"/>
            <w:tcBorders>
              <w:bottom w:val="single" w:sz="4" w:space="0" w:color="auto"/>
            </w:tcBorders>
          </w:tcPr>
          <w:p w:rsidR="009C4647" w:rsidRDefault="009C4647" w:rsidP="004972D5">
            <w:pPr>
              <w:rPr>
                <w:sz w:val="20"/>
                <w:szCs w:val="20"/>
              </w:rPr>
            </w:pPr>
            <w:r w:rsidRPr="002B630A">
              <w:rPr>
                <w:sz w:val="20"/>
                <w:szCs w:val="20"/>
              </w:rPr>
              <w:t>Service name</w:t>
            </w:r>
          </w:p>
          <w:p w:rsidR="00D64925" w:rsidRPr="002B630A" w:rsidRDefault="00E757C2" w:rsidP="004972D5">
            <w:pPr>
              <w:rPr>
                <w:sz w:val="20"/>
                <w:szCs w:val="20"/>
              </w:rPr>
            </w:pPr>
            <w:r>
              <w:rPr>
                <w:sz w:val="20"/>
                <w:szCs w:val="20"/>
              </w:rPr>
              <w:t>LIBRARIES SERVICE</w:t>
            </w:r>
            <w:r w:rsidR="005309E8">
              <w:rPr>
                <w:sz w:val="20"/>
                <w:szCs w:val="20"/>
              </w:rPr>
              <w:t xml:space="preserve"> </w:t>
            </w:r>
            <w:r w:rsidR="00483521">
              <w:rPr>
                <w:sz w:val="20"/>
                <w:szCs w:val="20"/>
              </w:rPr>
              <w:t>(BBR 073)</w:t>
            </w:r>
          </w:p>
        </w:tc>
        <w:tc>
          <w:tcPr>
            <w:tcW w:w="5953" w:type="dxa"/>
            <w:gridSpan w:val="3"/>
            <w:tcBorders>
              <w:bottom w:val="single" w:sz="4" w:space="0" w:color="auto"/>
            </w:tcBorders>
          </w:tcPr>
          <w:p w:rsidR="00317315" w:rsidRPr="00DD7A39" w:rsidRDefault="009C4647" w:rsidP="00DD7A39">
            <w:pPr>
              <w:rPr>
                <w:sz w:val="20"/>
                <w:szCs w:val="20"/>
              </w:rPr>
            </w:pPr>
            <w:r w:rsidRPr="00DD7A39">
              <w:rPr>
                <w:sz w:val="20"/>
                <w:szCs w:val="20"/>
              </w:rPr>
              <w:t>Service description</w:t>
            </w:r>
            <w:r w:rsidR="00DD7A39">
              <w:rPr>
                <w:sz w:val="20"/>
                <w:szCs w:val="20"/>
              </w:rPr>
              <w:t xml:space="preserve"> – Please see </w:t>
            </w:r>
            <w:r w:rsidR="00403D58">
              <w:rPr>
                <w:sz w:val="20"/>
                <w:szCs w:val="20"/>
              </w:rPr>
              <w:t>below</w:t>
            </w:r>
          </w:p>
          <w:p w:rsidR="009C4647" w:rsidRPr="002B630A" w:rsidRDefault="009C4647" w:rsidP="00016D9C">
            <w:pPr>
              <w:rPr>
                <w:sz w:val="20"/>
                <w:szCs w:val="20"/>
              </w:rPr>
            </w:pPr>
          </w:p>
        </w:tc>
      </w:tr>
      <w:tr w:rsidR="009C4647" w:rsidRPr="002B630A" w:rsidTr="008252EB">
        <w:tc>
          <w:tcPr>
            <w:tcW w:w="3256" w:type="dxa"/>
            <w:tcBorders>
              <w:bottom w:val="nil"/>
            </w:tcBorders>
          </w:tcPr>
          <w:p w:rsidR="009C4647" w:rsidRPr="002B630A" w:rsidRDefault="009C4647" w:rsidP="004972D5">
            <w:pPr>
              <w:rPr>
                <w:sz w:val="20"/>
                <w:szCs w:val="20"/>
              </w:rPr>
            </w:pPr>
          </w:p>
        </w:tc>
        <w:tc>
          <w:tcPr>
            <w:tcW w:w="1984" w:type="dxa"/>
            <w:tcBorders>
              <w:bottom w:val="nil"/>
            </w:tcBorders>
          </w:tcPr>
          <w:p w:rsidR="009C4647" w:rsidRPr="00084304" w:rsidRDefault="009C4647" w:rsidP="00C3384B">
            <w:pPr>
              <w:jc w:val="center"/>
              <w:rPr>
                <w:b/>
                <w:sz w:val="20"/>
                <w:szCs w:val="20"/>
              </w:rPr>
            </w:pPr>
            <w:r w:rsidRPr="00084304">
              <w:rPr>
                <w:b/>
                <w:sz w:val="20"/>
                <w:szCs w:val="20"/>
              </w:rPr>
              <w:t>2015/16</w:t>
            </w:r>
          </w:p>
        </w:tc>
        <w:tc>
          <w:tcPr>
            <w:tcW w:w="1843" w:type="dxa"/>
            <w:tcBorders>
              <w:bottom w:val="nil"/>
            </w:tcBorders>
          </w:tcPr>
          <w:p w:rsidR="009C4647" w:rsidRPr="00084304" w:rsidRDefault="009C4647" w:rsidP="00C3384B">
            <w:pPr>
              <w:jc w:val="center"/>
              <w:rPr>
                <w:b/>
                <w:sz w:val="20"/>
                <w:szCs w:val="20"/>
              </w:rPr>
            </w:pPr>
            <w:r w:rsidRPr="00084304">
              <w:rPr>
                <w:b/>
                <w:sz w:val="20"/>
                <w:szCs w:val="20"/>
              </w:rPr>
              <w:t>2016/17</w:t>
            </w:r>
          </w:p>
        </w:tc>
        <w:tc>
          <w:tcPr>
            <w:tcW w:w="2126" w:type="dxa"/>
            <w:tcBorders>
              <w:bottom w:val="nil"/>
            </w:tcBorders>
          </w:tcPr>
          <w:p w:rsidR="009C4647" w:rsidRPr="00084304" w:rsidRDefault="009C4647" w:rsidP="00C3384B">
            <w:pPr>
              <w:jc w:val="center"/>
              <w:rPr>
                <w:b/>
                <w:sz w:val="20"/>
                <w:szCs w:val="20"/>
              </w:rPr>
            </w:pPr>
            <w:r w:rsidRPr="00084304">
              <w:rPr>
                <w:b/>
                <w:sz w:val="20"/>
                <w:szCs w:val="20"/>
              </w:rPr>
              <w:t>2017/18</w:t>
            </w:r>
          </w:p>
        </w:tc>
      </w:tr>
      <w:tr w:rsidR="008252EB" w:rsidRPr="002B630A" w:rsidTr="008252EB">
        <w:tc>
          <w:tcPr>
            <w:tcW w:w="3256" w:type="dxa"/>
            <w:tcBorders>
              <w:top w:val="nil"/>
              <w:bottom w:val="single" w:sz="4" w:space="0" w:color="auto"/>
            </w:tcBorders>
          </w:tcPr>
          <w:p w:rsidR="008252EB" w:rsidRPr="002B630A" w:rsidRDefault="008252EB" w:rsidP="004972D5">
            <w:pPr>
              <w:rPr>
                <w:sz w:val="20"/>
                <w:szCs w:val="20"/>
              </w:rPr>
            </w:pPr>
          </w:p>
        </w:tc>
        <w:tc>
          <w:tcPr>
            <w:tcW w:w="1984"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1843"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c>
          <w:tcPr>
            <w:tcW w:w="2126" w:type="dxa"/>
            <w:tcBorders>
              <w:top w:val="nil"/>
              <w:bottom w:val="single" w:sz="4" w:space="0" w:color="auto"/>
            </w:tcBorders>
          </w:tcPr>
          <w:p w:rsidR="008252EB" w:rsidRPr="00084304" w:rsidRDefault="008252EB" w:rsidP="00C3384B">
            <w:pPr>
              <w:jc w:val="center"/>
              <w:rPr>
                <w:b/>
                <w:sz w:val="20"/>
                <w:szCs w:val="20"/>
              </w:rPr>
            </w:pPr>
            <w:r>
              <w:rPr>
                <w:b/>
                <w:sz w:val="20"/>
                <w:szCs w:val="20"/>
              </w:rPr>
              <w:t>£m</w:t>
            </w:r>
          </w:p>
        </w:tc>
      </w:tr>
      <w:tr w:rsidR="006A54F7" w:rsidRPr="002B630A" w:rsidTr="008252EB">
        <w:tc>
          <w:tcPr>
            <w:tcW w:w="3256" w:type="dxa"/>
            <w:tcBorders>
              <w:top w:val="nil"/>
              <w:bottom w:val="single" w:sz="4" w:space="0" w:color="auto"/>
            </w:tcBorders>
          </w:tcPr>
          <w:p w:rsidR="006A54F7" w:rsidRPr="004D588F" w:rsidRDefault="006A54F7" w:rsidP="006A54F7">
            <w:pPr>
              <w:rPr>
                <w:sz w:val="20"/>
                <w:szCs w:val="20"/>
              </w:rPr>
            </w:pPr>
            <w:r>
              <w:rPr>
                <w:sz w:val="20"/>
                <w:szCs w:val="20"/>
              </w:rPr>
              <w:t>Forecast before savings</w:t>
            </w:r>
          </w:p>
        </w:tc>
        <w:tc>
          <w:tcPr>
            <w:tcW w:w="1984"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13.209</w:t>
            </w:r>
          </w:p>
        </w:tc>
        <w:tc>
          <w:tcPr>
            <w:tcW w:w="1843"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13.348</w:t>
            </w:r>
          </w:p>
        </w:tc>
        <w:tc>
          <w:tcPr>
            <w:tcW w:w="2126"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13.568</w:t>
            </w:r>
          </w:p>
        </w:tc>
      </w:tr>
      <w:tr w:rsidR="006A54F7" w:rsidRPr="002B630A" w:rsidTr="008252EB">
        <w:tc>
          <w:tcPr>
            <w:tcW w:w="3256" w:type="dxa"/>
            <w:tcBorders>
              <w:top w:val="nil"/>
              <w:bottom w:val="single" w:sz="4" w:space="0" w:color="auto"/>
            </w:tcBorders>
          </w:tcPr>
          <w:p w:rsidR="006A54F7" w:rsidRDefault="006A54F7" w:rsidP="006A54F7">
            <w:pPr>
              <w:rPr>
                <w:sz w:val="20"/>
                <w:szCs w:val="20"/>
              </w:rPr>
            </w:pPr>
            <w:r>
              <w:rPr>
                <w:sz w:val="20"/>
                <w:szCs w:val="20"/>
              </w:rPr>
              <w:t>Budgeted savings (cumulative)</w:t>
            </w:r>
          </w:p>
        </w:tc>
        <w:tc>
          <w:tcPr>
            <w:tcW w:w="1984"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-0.866</w:t>
            </w:r>
          </w:p>
        </w:tc>
        <w:tc>
          <w:tcPr>
            <w:tcW w:w="1843"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-3.008</w:t>
            </w:r>
          </w:p>
        </w:tc>
        <w:tc>
          <w:tcPr>
            <w:tcW w:w="2126" w:type="dxa"/>
            <w:tcBorders>
              <w:top w:val="nil"/>
              <w:bottom w:val="single" w:sz="4" w:space="0" w:color="auto"/>
            </w:tcBorders>
          </w:tcPr>
          <w:p w:rsidR="006A54F7" w:rsidRPr="00877382" w:rsidRDefault="006A54F7" w:rsidP="006A54F7">
            <w:pPr>
              <w:jc w:val="right"/>
              <w:rPr>
                <w:sz w:val="20"/>
                <w:szCs w:val="20"/>
              </w:rPr>
            </w:pPr>
            <w:r w:rsidRPr="00FB7ABB">
              <w:rPr>
                <w:noProof/>
                <w:sz w:val="20"/>
                <w:szCs w:val="20"/>
              </w:rPr>
              <w:t>-4.708</w:t>
            </w:r>
          </w:p>
        </w:tc>
      </w:tr>
      <w:tr w:rsidR="006A54F7" w:rsidRPr="002B630A" w:rsidTr="008252EB">
        <w:tc>
          <w:tcPr>
            <w:tcW w:w="3256" w:type="dxa"/>
            <w:shd w:val="clear" w:color="auto" w:fill="auto"/>
          </w:tcPr>
          <w:p w:rsidR="006A54F7" w:rsidRDefault="006A54F7" w:rsidP="006A54F7">
            <w:pPr>
              <w:rPr>
                <w:sz w:val="20"/>
                <w:szCs w:val="20"/>
              </w:rPr>
            </w:pPr>
            <w:r>
              <w:rPr>
                <w:sz w:val="20"/>
                <w:szCs w:val="20"/>
              </w:rPr>
              <w:t>Planned net expenditure</w:t>
            </w:r>
            <w:r w:rsidRPr="004D588F">
              <w:rPr>
                <w:sz w:val="20"/>
                <w:szCs w:val="20"/>
              </w:rPr>
              <w:t xml:space="preserve"> </w:t>
            </w:r>
          </w:p>
          <w:p w:rsidR="006A54F7" w:rsidRDefault="006A54F7" w:rsidP="006A54F7">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shd w:val="clear" w:color="auto" w:fill="auto"/>
          </w:tcPr>
          <w:p w:rsidR="006A54F7" w:rsidRPr="00877382" w:rsidRDefault="006A54F7" w:rsidP="006A54F7">
            <w:pPr>
              <w:jc w:val="right"/>
              <w:rPr>
                <w:sz w:val="20"/>
                <w:szCs w:val="20"/>
              </w:rPr>
            </w:pPr>
            <w:r w:rsidRPr="00FB7ABB">
              <w:rPr>
                <w:noProof/>
                <w:sz w:val="20"/>
                <w:szCs w:val="20"/>
              </w:rPr>
              <w:t>12.343</w:t>
            </w:r>
          </w:p>
        </w:tc>
        <w:tc>
          <w:tcPr>
            <w:tcW w:w="1843" w:type="dxa"/>
            <w:shd w:val="clear" w:color="auto" w:fill="auto"/>
          </w:tcPr>
          <w:p w:rsidR="006A54F7" w:rsidRPr="00877382" w:rsidRDefault="006A54F7" w:rsidP="006A54F7">
            <w:pPr>
              <w:jc w:val="right"/>
              <w:rPr>
                <w:sz w:val="20"/>
                <w:szCs w:val="20"/>
              </w:rPr>
            </w:pPr>
            <w:r w:rsidRPr="00FB7ABB">
              <w:rPr>
                <w:noProof/>
                <w:sz w:val="20"/>
                <w:szCs w:val="20"/>
              </w:rPr>
              <w:t>10.340</w:t>
            </w:r>
          </w:p>
        </w:tc>
        <w:tc>
          <w:tcPr>
            <w:tcW w:w="2126" w:type="dxa"/>
            <w:shd w:val="clear" w:color="auto" w:fill="auto"/>
          </w:tcPr>
          <w:p w:rsidR="006A54F7" w:rsidRPr="00877382" w:rsidRDefault="006A54F7" w:rsidP="006A54F7">
            <w:pPr>
              <w:jc w:val="right"/>
              <w:rPr>
                <w:sz w:val="20"/>
                <w:szCs w:val="20"/>
              </w:rPr>
            </w:pPr>
            <w:r w:rsidRPr="00FB7ABB">
              <w:rPr>
                <w:noProof/>
                <w:sz w:val="20"/>
                <w:szCs w:val="20"/>
              </w:rPr>
              <w:t>8.860</w:t>
            </w:r>
          </w:p>
        </w:tc>
      </w:tr>
      <w:tr w:rsidR="006A54F7" w:rsidRPr="002B630A" w:rsidTr="00452C66">
        <w:tc>
          <w:tcPr>
            <w:tcW w:w="3256" w:type="dxa"/>
            <w:shd w:val="clear" w:color="auto" w:fill="D9D9D9" w:themeFill="background1" w:themeFillShade="D9"/>
          </w:tcPr>
          <w:p w:rsidR="006A54F7" w:rsidRDefault="006A54F7" w:rsidP="006A54F7">
            <w:pPr>
              <w:rPr>
                <w:sz w:val="20"/>
                <w:szCs w:val="20"/>
              </w:rPr>
            </w:pPr>
          </w:p>
        </w:tc>
        <w:tc>
          <w:tcPr>
            <w:tcW w:w="1984" w:type="dxa"/>
            <w:shd w:val="clear" w:color="auto" w:fill="D9D9D9" w:themeFill="background1" w:themeFillShade="D9"/>
          </w:tcPr>
          <w:p w:rsidR="006A54F7" w:rsidRPr="002B630A" w:rsidRDefault="006A54F7" w:rsidP="006A54F7">
            <w:pPr>
              <w:jc w:val="right"/>
              <w:rPr>
                <w:sz w:val="20"/>
                <w:szCs w:val="20"/>
              </w:rPr>
            </w:pPr>
          </w:p>
        </w:tc>
        <w:tc>
          <w:tcPr>
            <w:tcW w:w="1843" w:type="dxa"/>
            <w:shd w:val="clear" w:color="auto" w:fill="D9D9D9" w:themeFill="background1" w:themeFillShade="D9"/>
          </w:tcPr>
          <w:p w:rsidR="006A54F7" w:rsidRPr="002B630A" w:rsidRDefault="006A54F7" w:rsidP="006A54F7">
            <w:pPr>
              <w:jc w:val="right"/>
              <w:rPr>
                <w:sz w:val="20"/>
                <w:szCs w:val="20"/>
              </w:rPr>
            </w:pPr>
          </w:p>
        </w:tc>
        <w:tc>
          <w:tcPr>
            <w:tcW w:w="2126" w:type="dxa"/>
            <w:shd w:val="clear" w:color="auto" w:fill="D9D9D9" w:themeFill="background1" w:themeFillShade="D9"/>
          </w:tcPr>
          <w:p w:rsidR="006A54F7" w:rsidRPr="002B630A" w:rsidRDefault="006A54F7" w:rsidP="006A54F7">
            <w:pPr>
              <w:jc w:val="right"/>
              <w:rPr>
                <w:sz w:val="20"/>
                <w:szCs w:val="20"/>
              </w:rPr>
            </w:pPr>
          </w:p>
        </w:tc>
      </w:tr>
      <w:tr w:rsidR="006A54F7" w:rsidRPr="002B630A" w:rsidTr="00EA2FB3">
        <w:tc>
          <w:tcPr>
            <w:tcW w:w="3256" w:type="dxa"/>
          </w:tcPr>
          <w:p w:rsidR="006A54F7" w:rsidRPr="00EA1D7C" w:rsidRDefault="006A54F7" w:rsidP="006A54F7">
            <w:pPr>
              <w:rPr>
                <w:sz w:val="20"/>
                <w:szCs w:val="20"/>
              </w:rPr>
            </w:pPr>
            <w:r>
              <w:rPr>
                <w:sz w:val="20"/>
                <w:szCs w:val="20"/>
              </w:rPr>
              <w:t>August 15 monitoring position</w:t>
            </w:r>
          </w:p>
        </w:tc>
        <w:tc>
          <w:tcPr>
            <w:tcW w:w="1984" w:type="dxa"/>
            <w:shd w:val="clear" w:color="auto" w:fill="auto"/>
          </w:tcPr>
          <w:p w:rsidR="006A54F7" w:rsidRPr="002B630A" w:rsidRDefault="006A54F7" w:rsidP="006A54F7">
            <w:pPr>
              <w:jc w:val="right"/>
              <w:rPr>
                <w:sz w:val="20"/>
                <w:szCs w:val="20"/>
              </w:rPr>
            </w:pPr>
            <w:r w:rsidRPr="00FB7ABB">
              <w:rPr>
                <w:noProof/>
                <w:sz w:val="20"/>
                <w:szCs w:val="20"/>
              </w:rPr>
              <w:t>0.148</w:t>
            </w:r>
          </w:p>
        </w:tc>
        <w:tc>
          <w:tcPr>
            <w:tcW w:w="1843" w:type="dxa"/>
            <w:shd w:val="clear" w:color="auto" w:fill="auto"/>
          </w:tcPr>
          <w:p w:rsidR="006A54F7" w:rsidRPr="002B630A" w:rsidRDefault="006A54F7" w:rsidP="006A54F7">
            <w:pPr>
              <w:jc w:val="right"/>
              <w:rPr>
                <w:sz w:val="20"/>
                <w:szCs w:val="20"/>
              </w:rPr>
            </w:pPr>
          </w:p>
        </w:tc>
        <w:tc>
          <w:tcPr>
            <w:tcW w:w="2126" w:type="dxa"/>
            <w:shd w:val="clear" w:color="auto" w:fill="auto"/>
          </w:tcPr>
          <w:p w:rsidR="006A54F7" w:rsidRPr="002B630A" w:rsidRDefault="006A54F7" w:rsidP="006A54F7">
            <w:pPr>
              <w:jc w:val="right"/>
              <w:rPr>
                <w:sz w:val="20"/>
                <w:szCs w:val="20"/>
              </w:rPr>
            </w:pPr>
          </w:p>
        </w:tc>
      </w:tr>
      <w:tr w:rsidR="006A54F7" w:rsidRPr="002B630A" w:rsidTr="00C3384B">
        <w:tc>
          <w:tcPr>
            <w:tcW w:w="3256" w:type="dxa"/>
          </w:tcPr>
          <w:p w:rsidR="006A54F7" w:rsidRPr="00EA1D7C" w:rsidRDefault="006A54F7" w:rsidP="006A54F7">
            <w:pPr>
              <w:rPr>
                <w:sz w:val="20"/>
                <w:szCs w:val="20"/>
              </w:rPr>
            </w:pPr>
            <w:r w:rsidRPr="00EA1D7C">
              <w:rPr>
                <w:sz w:val="20"/>
                <w:szCs w:val="20"/>
              </w:rPr>
              <w:t>Demand variations</w:t>
            </w:r>
            <w:r>
              <w:rPr>
                <w:sz w:val="20"/>
                <w:szCs w:val="20"/>
              </w:rPr>
              <w:t xml:space="preserve"> (cumulative)</w:t>
            </w:r>
          </w:p>
        </w:tc>
        <w:tc>
          <w:tcPr>
            <w:tcW w:w="1984" w:type="dxa"/>
            <w:tcBorders>
              <w:bottom w:val="single" w:sz="4" w:space="0" w:color="auto"/>
            </w:tcBorders>
          </w:tcPr>
          <w:p w:rsidR="006A54F7" w:rsidRPr="002B630A" w:rsidRDefault="006A54F7" w:rsidP="006A54F7">
            <w:pPr>
              <w:jc w:val="right"/>
              <w:rPr>
                <w:sz w:val="20"/>
                <w:szCs w:val="20"/>
              </w:rPr>
            </w:pPr>
          </w:p>
        </w:tc>
        <w:tc>
          <w:tcPr>
            <w:tcW w:w="1843" w:type="dxa"/>
            <w:tcBorders>
              <w:bottom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2126" w:type="dxa"/>
            <w:tcBorders>
              <w:bottom w:val="single" w:sz="4" w:space="0" w:color="auto"/>
            </w:tcBorders>
          </w:tcPr>
          <w:p w:rsidR="006A54F7" w:rsidRPr="002B630A" w:rsidRDefault="006A54F7" w:rsidP="006A54F7">
            <w:pPr>
              <w:jc w:val="right"/>
              <w:rPr>
                <w:sz w:val="20"/>
                <w:szCs w:val="20"/>
              </w:rPr>
            </w:pPr>
            <w:r w:rsidRPr="00FB7ABB">
              <w:rPr>
                <w:noProof/>
                <w:sz w:val="20"/>
                <w:szCs w:val="20"/>
              </w:rPr>
              <w:t>0.000</w:t>
            </w:r>
          </w:p>
        </w:tc>
      </w:tr>
      <w:tr w:rsidR="006A54F7" w:rsidRPr="002B630A" w:rsidTr="00C3384B">
        <w:tc>
          <w:tcPr>
            <w:tcW w:w="3256" w:type="dxa"/>
            <w:tcBorders>
              <w:right w:val="single" w:sz="4" w:space="0" w:color="auto"/>
            </w:tcBorders>
          </w:tcPr>
          <w:p w:rsidR="006A54F7" w:rsidRPr="00EA1D7C" w:rsidRDefault="006A54F7" w:rsidP="006A54F7">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-0.054</w:t>
            </w:r>
          </w:p>
        </w:tc>
        <w:tc>
          <w:tcPr>
            <w:tcW w:w="2126"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-0.143</w:t>
            </w:r>
          </w:p>
        </w:tc>
      </w:tr>
      <w:tr w:rsidR="006A54F7" w:rsidRPr="002B630A" w:rsidTr="00C3384B">
        <w:tc>
          <w:tcPr>
            <w:tcW w:w="3256" w:type="dxa"/>
            <w:tcBorders>
              <w:right w:val="single" w:sz="4" w:space="0" w:color="auto"/>
            </w:tcBorders>
          </w:tcPr>
          <w:p w:rsidR="006A54F7" w:rsidRPr="004D588F" w:rsidRDefault="006A54F7" w:rsidP="006A54F7">
            <w:pPr>
              <w:rPr>
                <w:sz w:val="20"/>
                <w:szCs w:val="20"/>
              </w:rPr>
            </w:pPr>
            <w:r>
              <w:rPr>
                <w:sz w:val="20"/>
                <w:szCs w:val="20"/>
              </w:rPr>
              <w:t>Undeliverable savings (cumulative)</w:t>
            </w:r>
          </w:p>
        </w:tc>
        <w:tc>
          <w:tcPr>
            <w:tcW w:w="1984"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r>
      <w:tr w:rsidR="006A54F7" w:rsidRPr="002B630A" w:rsidTr="00C3384B">
        <w:tc>
          <w:tcPr>
            <w:tcW w:w="3256" w:type="dxa"/>
            <w:tcBorders>
              <w:right w:val="single" w:sz="4" w:space="0" w:color="auto"/>
            </w:tcBorders>
          </w:tcPr>
          <w:p w:rsidR="006A54F7" w:rsidRDefault="006A54F7" w:rsidP="006A54F7">
            <w:pPr>
              <w:rPr>
                <w:sz w:val="20"/>
                <w:szCs w:val="20"/>
              </w:rPr>
            </w:pPr>
            <w:r>
              <w:rPr>
                <w:sz w:val="20"/>
                <w:szCs w:val="20"/>
              </w:rPr>
              <w:t>Loss of grant (cumulative)</w:t>
            </w:r>
          </w:p>
        </w:tc>
        <w:tc>
          <w:tcPr>
            <w:tcW w:w="1984"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6A54F7" w:rsidRPr="002B630A" w:rsidRDefault="006A54F7" w:rsidP="006A54F7">
            <w:pPr>
              <w:jc w:val="right"/>
              <w:rPr>
                <w:sz w:val="20"/>
                <w:szCs w:val="20"/>
              </w:rPr>
            </w:pPr>
            <w:r w:rsidRPr="00FB7ABB">
              <w:rPr>
                <w:noProof/>
                <w:sz w:val="20"/>
                <w:szCs w:val="20"/>
              </w:rPr>
              <w:t>0.000</w:t>
            </w:r>
          </w:p>
        </w:tc>
      </w:tr>
      <w:tr w:rsidR="006A54F7" w:rsidRPr="002B630A" w:rsidTr="008252EB">
        <w:tc>
          <w:tcPr>
            <w:tcW w:w="3256" w:type="dxa"/>
            <w:tcBorders>
              <w:bottom w:val="single" w:sz="4" w:space="0" w:color="auto"/>
            </w:tcBorders>
            <w:shd w:val="clear" w:color="auto" w:fill="BFBFBF" w:themeFill="background1" w:themeFillShade="BF"/>
          </w:tcPr>
          <w:p w:rsidR="006A54F7" w:rsidRPr="00EA1D7C" w:rsidRDefault="006A54F7" w:rsidP="006A54F7">
            <w:pPr>
              <w:rPr>
                <w:b/>
                <w:sz w:val="20"/>
                <w:szCs w:val="20"/>
              </w:rPr>
            </w:pPr>
            <w:r>
              <w:rPr>
                <w:b/>
                <w:sz w:val="20"/>
                <w:szCs w:val="20"/>
              </w:rPr>
              <w:t>Revised Resource Requirement</w:t>
            </w:r>
          </w:p>
        </w:tc>
        <w:tc>
          <w:tcPr>
            <w:tcW w:w="1984" w:type="dxa"/>
            <w:tcBorders>
              <w:top w:val="single" w:sz="4" w:space="0" w:color="auto"/>
              <w:bottom w:val="single" w:sz="4" w:space="0" w:color="auto"/>
            </w:tcBorders>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12.491</w:t>
            </w:r>
          </w:p>
        </w:tc>
        <w:tc>
          <w:tcPr>
            <w:tcW w:w="1843" w:type="dxa"/>
            <w:tcBorders>
              <w:top w:val="single" w:sz="4" w:space="0" w:color="auto"/>
              <w:bottom w:val="single" w:sz="4" w:space="0" w:color="auto"/>
            </w:tcBorders>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10.286</w:t>
            </w:r>
          </w:p>
        </w:tc>
        <w:tc>
          <w:tcPr>
            <w:tcW w:w="2126" w:type="dxa"/>
            <w:tcBorders>
              <w:top w:val="single" w:sz="4" w:space="0" w:color="auto"/>
              <w:bottom w:val="single" w:sz="4" w:space="0" w:color="auto"/>
            </w:tcBorders>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8.717</w:t>
            </w:r>
          </w:p>
        </w:tc>
      </w:tr>
      <w:tr w:rsidR="006A54F7" w:rsidRPr="002B630A" w:rsidTr="008252EB">
        <w:tc>
          <w:tcPr>
            <w:tcW w:w="3256" w:type="dxa"/>
            <w:shd w:val="clear" w:color="auto" w:fill="auto"/>
          </w:tcPr>
          <w:p w:rsidR="006A54F7" w:rsidRPr="00F26FCF" w:rsidRDefault="006A54F7" w:rsidP="006A54F7">
            <w:pPr>
              <w:rPr>
                <w:sz w:val="20"/>
                <w:szCs w:val="20"/>
              </w:rPr>
            </w:pPr>
            <w:r>
              <w:rPr>
                <w:sz w:val="20"/>
                <w:szCs w:val="20"/>
              </w:rPr>
              <w:t>Additional savings target for approval (cumulative)</w:t>
            </w:r>
          </w:p>
        </w:tc>
        <w:tc>
          <w:tcPr>
            <w:tcW w:w="1984" w:type="dxa"/>
            <w:shd w:val="clear" w:color="auto" w:fill="auto"/>
          </w:tcPr>
          <w:p w:rsidR="006A54F7" w:rsidRPr="002B630A" w:rsidRDefault="006A54F7" w:rsidP="006A54F7">
            <w:pPr>
              <w:jc w:val="right"/>
              <w:rPr>
                <w:sz w:val="20"/>
                <w:szCs w:val="20"/>
              </w:rPr>
            </w:pPr>
            <w:r w:rsidRPr="00FB7ABB">
              <w:rPr>
                <w:noProof/>
                <w:sz w:val="20"/>
                <w:szCs w:val="20"/>
              </w:rPr>
              <w:t>0.000</w:t>
            </w:r>
          </w:p>
        </w:tc>
        <w:tc>
          <w:tcPr>
            <w:tcW w:w="1843" w:type="dxa"/>
            <w:shd w:val="clear" w:color="auto" w:fill="auto"/>
          </w:tcPr>
          <w:p w:rsidR="006A54F7" w:rsidRPr="002B630A" w:rsidRDefault="006A54F7" w:rsidP="006A54F7">
            <w:pPr>
              <w:jc w:val="right"/>
              <w:rPr>
                <w:sz w:val="20"/>
                <w:szCs w:val="20"/>
              </w:rPr>
            </w:pPr>
            <w:r w:rsidRPr="00FB7ABB">
              <w:rPr>
                <w:noProof/>
                <w:sz w:val="20"/>
                <w:szCs w:val="20"/>
              </w:rPr>
              <w:t>-1.608</w:t>
            </w:r>
          </w:p>
        </w:tc>
        <w:tc>
          <w:tcPr>
            <w:tcW w:w="2126" w:type="dxa"/>
            <w:shd w:val="clear" w:color="auto" w:fill="auto"/>
          </w:tcPr>
          <w:p w:rsidR="006A54F7" w:rsidRPr="002B630A" w:rsidRDefault="006A54F7" w:rsidP="006A54F7">
            <w:pPr>
              <w:jc w:val="right"/>
              <w:rPr>
                <w:sz w:val="20"/>
                <w:szCs w:val="20"/>
              </w:rPr>
            </w:pPr>
            <w:r w:rsidRPr="00FB7ABB">
              <w:rPr>
                <w:noProof/>
                <w:sz w:val="20"/>
                <w:szCs w:val="20"/>
              </w:rPr>
              <w:t>-2.292</w:t>
            </w:r>
          </w:p>
        </w:tc>
      </w:tr>
      <w:tr w:rsidR="006A54F7" w:rsidRPr="002B630A" w:rsidTr="001E172B">
        <w:tc>
          <w:tcPr>
            <w:tcW w:w="3256" w:type="dxa"/>
            <w:shd w:val="clear" w:color="auto" w:fill="BFBFBF" w:themeFill="background1" w:themeFillShade="BF"/>
          </w:tcPr>
          <w:p w:rsidR="006A54F7" w:rsidRPr="00F26FCF" w:rsidRDefault="006A54F7" w:rsidP="006A54F7">
            <w:pPr>
              <w:rPr>
                <w:b/>
                <w:sz w:val="20"/>
                <w:szCs w:val="20"/>
              </w:rPr>
            </w:pPr>
            <w:r w:rsidRPr="00F26FCF">
              <w:rPr>
                <w:b/>
                <w:sz w:val="20"/>
                <w:szCs w:val="20"/>
              </w:rPr>
              <w:t>Revised proposed budget</w:t>
            </w:r>
          </w:p>
        </w:tc>
        <w:tc>
          <w:tcPr>
            <w:tcW w:w="1984" w:type="dxa"/>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12.491</w:t>
            </w:r>
          </w:p>
        </w:tc>
        <w:tc>
          <w:tcPr>
            <w:tcW w:w="1843" w:type="dxa"/>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8.678</w:t>
            </w:r>
          </w:p>
        </w:tc>
        <w:tc>
          <w:tcPr>
            <w:tcW w:w="2126" w:type="dxa"/>
            <w:shd w:val="clear" w:color="auto" w:fill="BFBFBF" w:themeFill="background1" w:themeFillShade="BF"/>
          </w:tcPr>
          <w:p w:rsidR="006A54F7" w:rsidRPr="00877382" w:rsidRDefault="006A54F7" w:rsidP="006A54F7">
            <w:pPr>
              <w:jc w:val="right"/>
              <w:rPr>
                <w:b/>
                <w:sz w:val="20"/>
                <w:szCs w:val="20"/>
              </w:rPr>
            </w:pPr>
            <w:r w:rsidRPr="00FB7ABB">
              <w:rPr>
                <w:b/>
                <w:noProof/>
                <w:sz w:val="20"/>
                <w:szCs w:val="20"/>
              </w:rPr>
              <w:t>6.425</w:t>
            </w:r>
          </w:p>
        </w:tc>
      </w:tr>
      <w:tr w:rsidR="006A54F7" w:rsidRPr="002B630A" w:rsidTr="00B417A2">
        <w:tc>
          <w:tcPr>
            <w:tcW w:w="3256" w:type="dxa"/>
            <w:shd w:val="clear" w:color="auto" w:fill="auto"/>
          </w:tcPr>
          <w:p w:rsidR="006A54F7" w:rsidRPr="004D588F" w:rsidRDefault="006A54F7" w:rsidP="006A54F7">
            <w:pPr>
              <w:rPr>
                <w:sz w:val="20"/>
                <w:szCs w:val="20"/>
              </w:rPr>
            </w:pPr>
            <w:r>
              <w:rPr>
                <w:sz w:val="20"/>
                <w:szCs w:val="20"/>
              </w:rPr>
              <w:t>Proposed r</w:t>
            </w:r>
            <w:r w:rsidRPr="004D588F">
              <w:rPr>
                <w:sz w:val="20"/>
                <w:szCs w:val="20"/>
              </w:rPr>
              <w:t>isk reserve provision</w:t>
            </w:r>
            <w:r>
              <w:rPr>
                <w:sz w:val="20"/>
                <w:szCs w:val="20"/>
              </w:rPr>
              <w:t xml:space="preserve"> (discrete year)</w:t>
            </w:r>
          </w:p>
        </w:tc>
        <w:tc>
          <w:tcPr>
            <w:tcW w:w="1984" w:type="dxa"/>
            <w:tcBorders>
              <w:bottom w:val="single" w:sz="4" w:space="0" w:color="auto"/>
            </w:tcBorders>
            <w:shd w:val="clear" w:color="auto" w:fill="auto"/>
          </w:tcPr>
          <w:p w:rsidR="006A54F7" w:rsidRPr="002B630A" w:rsidRDefault="006A54F7" w:rsidP="006A54F7">
            <w:pPr>
              <w:rPr>
                <w:sz w:val="20"/>
                <w:szCs w:val="20"/>
              </w:rPr>
            </w:pPr>
          </w:p>
        </w:tc>
        <w:tc>
          <w:tcPr>
            <w:tcW w:w="1843" w:type="dxa"/>
            <w:shd w:val="clear" w:color="auto" w:fill="auto"/>
          </w:tcPr>
          <w:p w:rsidR="006A54F7" w:rsidRPr="002B630A" w:rsidRDefault="006A54F7" w:rsidP="006A54F7">
            <w:pPr>
              <w:jc w:val="right"/>
              <w:rPr>
                <w:sz w:val="20"/>
                <w:szCs w:val="20"/>
              </w:rPr>
            </w:pPr>
            <w:r w:rsidRPr="00FB7ABB">
              <w:rPr>
                <w:noProof/>
                <w:sz w:val="20"/>
                <w:szCs w:val="20"/>
              </w:rPr>
              <w:t>1.608</w:t>
            </w:r>
          </w:p>
        </w:tc>
        <w:tc>
          <w:tcPr>
            <w:tcW w:w="2126" w:type="dxa"/>
            <w:shd w:val="clear" w:color="auto" w:fill="auto"/>
          </w:tcPr>
          <w:p w:rsidR="006A54F7" w:rsidRPr="002B630A" w:rsidRDefault="006A54F7" w:rsidP="006A54F7">
            <w:pPr>
              <w:jc w:val="right"/>
              <w:rPr>
                <w:sz w:val="20"/>
                <w:szCs w:val="20"/>
              </w:rPr>
            </w:pPr>
            <w:r w:rsidRPr="00FB7ABB">
              <w:rPr>
                <w:noProof/>
                <w:sz w:val="20"/>
                <w:szCs w:val="20"/>
              </w:rPr>
              <w:t>0.000</w:t>
            </w:r>
          </w:p>
        </w:tc>
      </w:tr>
      <w:tr w:rsidR="006A54F7" w:rsidRPr="002B630A" w:rsidTr="00C116C8">
        <w:tc>
          <w:tcPr>
            <w:tcW w:w="3256" w:type="dxa"/>
          </w:tcPr>
          <w:p w:rsidR="006A54F7" w:rsidRDefault="006A54F7" w:rsidP="006A54F7">
            <w:pPr>
              <w:rPr>
                <w:sz w:val="20"/>
                <w:szCs w:val="20"/>
              </w:rPr>
            </w:pPr>
            <w:r w:rsidRPr="004D588F">
              <w:rPr>
                <w:sz w:val="20"/>
                <w:szCs w:val="20"/>
              </w:rPr>
              <w:t xml:space="preserve">Policy Decisions needed to deliver the </w:t>
            </w:r>
            <w:r>
              <w:rPr>
                <w:sz w:val="20"/>
                <w:szCs w:val="20"/>
              </w:rPr>
              <w:t>budgeted savings</w:t>
            </w:r>
          </w:p>
          <w:p w:rsidR="006A54F7" w:rsidRDefault="006A54F7" w:rsidP="006A54F7">
            <w:pPr>
              <w:rPr>
                <w:sz w:val="20"/>
                <w:szCs w:val="20"/>
              </w:rPr>
            </w:pPr>
          </w:p>
          <w:p w:rsidR="006A54F7" w:rsidRPr="004D588F" w:rsidRDefault="006A54F7" w:rsidP="006A54F7">
            <w:pPr>
              <w:rPr>
                <w:sz w:val="20"/>
                <w:szCs w:val="20"/>
              </w:rPr>
            </w:pPr>
          </w:p>
        </w:tc>
        <w:tc>
          <w:tcPr>
            <w:tcW w:w="5953" w:type="dxa"/>
            <w:gridSpan w:val="3"/>
          </w:tcPr>
          <w:p w:rsidR="006A54F7" w:rsidRDefault="006A54F7" w:rsidP="006A54F7">
            <w:pPr>
              <w:rPr>
                <w:sz w:val="20"/>
                <w:szCs w:val="20"/>
              </w:rPr>
            </w:pPr>
            <w:r>
              <w:rPr>
                <w:sz w:val="20"/>
                <w:szCs w:val="20"/>
              </w:rPr>
              <w:t xml:space="preserve">To consult on the provision of a future Library service based upon the proposals set out below: </w:t>
            </w:r>
          </w:p>
          <w:p w:rsidR="006A54F7" w:rsidRDefault="006A54F7" w:rsidP="006A54F7">
            <w:pPr>
              <w:rPr>
                <w:sz w:val="20"/>
                <w:szCs w:val="20"/>
              </w:rPr>
            </w:pPr>
          </w:p>
          <w:p w:rsidR="006A54F7" w:rsidRDefault="006A54F7" w:rsidP="006A54F7">
            <w:pPr>
              <w:rPr>
                <w:sz w:val="20"/>
                <w:szCs w:val="20"/>
              </w:rPr>
            </w:pPr>
            <w:r>
              <w:rPr>
                <w:sz w:val="20"/>
                <w:szCs w:val="20"/>
              </w:rPr>
              <w:t>As part of its Base Budget Review the council has identified that the provision of a single static Library in each of its 12 district council areas would meet its statutory obligations in respect of Library provision.</w:t>
            </w:r>
          </w:p>
          <w:p w:rsidR="006A54F7" w:rsidRDefault="006A54F7" w:rsidP="006A54F7">
            <w:pPr>
              <w:rPr>
                <w:sz w:val="20"/>
                <w:szCs w:val="20"/>
              </w:rPr>
            </w:pPr>
          </w:p>
          <w:p w:rsidR="006A54F7" w:rsidRDefault="006A54F7" w:rsidP="006A54F7">
            <w:pPr>
              <w:rPr>
                <w:sz w:val="20"/>
                <w:szCs w:val="20"/>
              </w:rPr>
            </w:pPr>
            <w:r>
              <w:rPr>
                <w:sz w:val="20"/>
                <w:szCs w:val="20"/>
              </w:rPr>
              <w:t>The current level of provision of 74 Libraries is considered to be significantly in excess of the council's duty to provide a sufficient number of libraries to meet the needs of the community.</w:t>
            </w:r>
          </w:p>
          <w:p w:rsidR="006A54F7" w:rsidRDefault="006A54F7" w:rsidP="006A54F7">
            <w:pPr>
              <w:rPr>
                <w:sz w:val="20"/>
                <w:szCs w:val="20"/>
              </w:rPr>
            </w:pPr>
          </w:p>
          <w:p w:rsidR="006A54F7" w:rsidRDefault="006A54F7" w:rsidP="006A54F7">
            <w:pPr>
              <w:rPr>
                <w:sz w:val="20"/>
                <w:szCs w:val="20"/>
              </w:rPr>
            </w:pPr>
            <w:r>
              <w:rPr>
                <w:sz w:val="20"/>
                <w:szCs w:val="20"/>
              </w:rPr>
              <w:t>The council would therefore be consulting on what would be an acceptable and sufficient level of service to meet need.</w:t>
            </w:r>
          </w:p>
          <w:p w:rsidR="006A54F7" w:rsidRDefault="006A54F7" w:rsidP="006A54F7">
            <w:pPr>
              <w:rPr>
                <w:sz w:val="20"/>
                <w:szCs w:val="20"/>
              </w:rPr>
            </w:pPr>
          </w:p>
          <w:p w:rsidR="006A54F7" w:rsidRDefault="006A54F7" w:rsidP="006A54F7">
            <w:pPr>
              <w:rPr>
                <w:sz w:val="20"/>
                <w:szCs w:val="20"/>
              </w:rPr>
            </w:pPr>
            <w:r>
              <w:rPr>
                <w:sz w:val="20"/>
                <w:szCs w:val="20"/>
              </w:rPr>
              <w:t>The council's draft corporate strategy proposes that the needs of residents be met on the basis of local communities within 34 Service Planning Areas.</w:t>
            </w:r>
          </w:p>
          <w:p w:rsidR="006A54F7" w:rsidRDefault="006A54F7" w:rsidP="006A54F7">
            <w:pPr>
              <w:rPr>
                <w:sz w:val="20"/>
                <w:szCs w:val="20"/>
              </w:rPr>
            </w:pPr>
          </w:p>
          <w:p w:rsidR="006A54F7" w:rsidRDefault="006A54F7" w:rsidP="006A54F7">
            <w:pPr>
              <w:rPr>
                <w:sz w:val="20"/>
                <w:szCs w:val="20"/>
              </w:rPr>
            </w:pPr>
            <w:r>
              <w:rPr>
                <w:sz w:val="20"/>
                <w:szCs w:val="20"/>
              </w:rPr>
              <w:t>The council considers that a level of service based upon the provision of one static library to meet the needs of each of the 34 Service Planning Areas would provide an acceptable level of service with the resources available to the authority.</w:t>
            </w:r>
          </w:p>
          <w:p w:rsidR="006A54F7" w:rsidRDefault="006A54F7" w:rsidP="006A54F7">
            <w:pPr>
              <w:rPr>
                <w:sz w:val="20"/>
                <w:szCs w:val="20"/>
              </w:rPr>
            </w:pPr>
          </w:p>
          <w:p w:rsidR="006A54F7" w:rsidRDefault="006A54F7" w:rsidP="006A54F7">
            <w:pPr>
              <w:rPr>
                <w:sz w:val="20"/>
                <w:szCs w:val="20"/>
              </w:rPr>
            </w:pPr>
            <w:r>
              <w:rPr>
                <w:sz w:val="20"/>
                <w:szCs w:val="20"/>
              </w:rPr>
              <w:t>The proposed model of service delivery would be to provide 34 fully staffed Libraries.</w:t>
            </w:r>
          </w:p>
          <w:p w:rsidR="006A54F7" w:rsidRDefault="006A54F7" w:rsidP="006A54F7">
            <w:pPr>
              <w:rPr>
                <w:sz w:val="20"/>
                <w:szCs w:val="20"/>
              </w:rPr>
            </w:pPr>
          </w:p>
          <w:p w:rsidR="006A54F7" w:rsidRDefault="006A54F7" w:rsidP="006A54F7">
            <w:pPr>
              <w:rPr>
                <w:sz w:val="20"/>
                <w:szCs w:val="20"/>
              </w:rPr>
            </w:pPr>
            <w:r>
              <w:rPr>
                <w:sz w:val="20"/>
                <w:szCs w:val="20"/>
              </w:rPr>
              <w:t xml:space="preserve">It is proposed that budget provision be made for 2016/17 onwards, for delivering the library service, on this model of service based upon the 34 Service Planning areas.  </w:t>
            </w:r>
          </w:p>
          <w:p w:rsidR="006A54F7" w:rsidRPr="005F320F" w:rsidRDefault="006A54F7" w:rsidP="006A54F7">
            <w:pPr>
              <w:rPr>
                <w:sz w:val="20"/>
                <w:szCs w:val="20"/>
              </w:rPr>
            </w:pPr>
            <w:r>
              <w:rPr>
                <w:sz w:val="20"/>
                <w:szCs w:val="20"/>
              </w:rPr>
              <w:t xml:space="preserve">It is proposed that provision be made within the council's reserves for continuation of service on the basis of current provision, pending the outcome of the consultation. </w:t>
            </w:r>
          </w:p>
        </w:tc>
      </w:tr>
      <w:tr w:rsidR="006A54F7" w:rsidRPr="002B630A" w:rsidTr="00C116C8">
        <w:tc>
          <w:tcPr>
            <w:tcW w:w="3256" w:type="dxa"/>
          </w:tcPr>
          <w:p w:rsidR="006A54F7" w:rsidRDefault="006A54F7" w:rsidP="006A54F7">
            <w:pPr>
              <w:rPr>
                <w:sz w:val="20"/>
                <w:szCs w:val="20"/>
              </w:rPr>
            </w:pPr>
            <w:r w:rsidRPr="002B630A">
              <w:rPr>
                <w:sz w:val="20"/>
                <w:szCs w:val="20"/>
              </w:rPr>
              <w:lastRenderedPageBreak/>
              <w:t xml:space="preserve">Impact upon service </w:t>
            </w:r>
          </w:p>
          <w:p w:rsidR="006A54F7" w:rsidRDefault="006A54F7" w:rsidP="006A54F7">
            <w:pPr>
              <w:rPr>
                <w:sz w:val="20"/>
                <w:szCs w:val="20"/>
              </w:rPr>
            </w:pPr>
          </w:p>
          <w:p w:rsidR="006A54F7" w:rsidRDefault="006A54F7" w:rsidP="006A54F7">
            <w:pPr>
              <w:rPr>
                <w:sz w:val="20"/>
                <w:szCs w:val="20"/>
              </w:rPr>
            </w:pPr>
          </w:p>
          <w:p w:rsidR="006A54F7" w:rsidRPr="002B630A" w:rsidRDefault="006A54F7" w:rsidP="006A54F7">
            <w:pPr>
              <w:rPr>
                <w:sz w:val="20"/>
                <w:szCs w:val="20"/>
              </w:rPr>
            </w:pPr>
          </w:p>
        </w:tc>
        <w:tc>
          <w:tcPr>
            <w:tcW w:w="5953" w:type="dxa"/>
            <w:gridSpan w:val="3"/>
          </w:tcPr>
          <w:p w:rsidR="006A54F7" w:rsidRDefault="006A54F7" w:rsidP="006A54F7">
            <w:pPr>
              <w:rPr>
                <w:sz w:val="20"/>
                <w:szCs w:val="20"/>
              </w:rPr>
            </w:pPr>
            <w:r>
              <w:rPr>
                <w:sz w:val="20"/>
                <w:szCs w:val="20"/>
              </w:rPr>
              <w:t xml:space="preserve">Should the outcome of the consultation and subsequent consideration of service provision result in a decision to provide 34 Libraries the impact would be the closure of 40 libraries. </w:t>
            </w:r>
          </w:p>
          <w:p w:rsidR="006A54F7" w:rsidRDefault="006A54F7" w:rsidP="006A54F7">
            <w:pPr>
              <w:rPr>
                <w:sz w:val="20"/>
                <w:szCs w:val="20"/>
              </w:rPr>
            </w:pPr>
          </w:p>
          <w:p w:rsidR="006A54F7" w:rsidRDefault="006A54F7" w:rsidP="006A54F7">
            <w:pPr>
              <w:rPr>
                <w:sz w:val="20"/>
                <w:szCs w:val="20"/>
              </w:rPr>
            </w:pPr>
            <w:r>
              <w:rPr>
                <w:sz w:val="20"/>
                <w:szCs w:val="20"/>
              </w:rPr>
              <w:t>If this were to be the outcome the proposal would also result in a 50% reduction</w:t>
            </w:r>
            <w:r w:rsidRPr="006E2516">
              <w:rPr>
                <w:sz w:val="20"/>
                <w:szCs w:val="20"/>
              </w:rPr>
              <w:t xml:space="preserve"> of the support and development team</w:t>
            </w:r>
            <w:r>
              <w:rPr>
                <w:sz w:val="20"/>
                <w:szCs w:val="20"/>
              </w:rPr>
              <w:t xml:space="preserve"> in line with proposed service reduction timescales.</w:t>
            </w:r>
          </w:p>
          <w:p w:rsidR="006A54F7" w:rsidRDefault="006A54F7" w:rsidP="006A54F7">
            <w:pPr>
              <w:rPr>
                <w:sz w:val="20"/>
                <w:szCs w:val="20"/>
              </w:rPr>
            </w:pPr>
          </w:p>
          <w:p w:rsidR="006A54F7" w:rsidRPr="006E2516" w:rsidRDefault="006A54F7" w:rsidP="006A54F7">
            <w:pPr>
              <w:rPr>
                <w:sz w:val="20"/>
                <w:szCs w:val="20"/>
              </w:rPr>
            </w:pPr>
            <w:r>
              <w:rPr>
                <w:sz w:val="20"/>
                <w:szCs w:val="20"/>
              </w:rPr>
              <w:t>No impact on the mobile library service which will be retained.</w:t>
            </w:r>
          </w:p>
        </w:tc>
      </w:tr>
      <w:tr w:rsidR="006A54F7" w:rsidRPr="002B630A" w:rsidTr="00C116C8">
        <w:tc>
          <w:tcPr>
            <w:tcW w:w="3256" w:type="dxa"/>
          </w:tcPr>
          <w:p w:rsidR="006A54F7" w:rsidRPr="002B630A" w:rsidRDefault="006A54F7" w:rsidP="006A54F7">
            <w:pPr>
              <w:rPr>
                <w:sz w:val="20"/>
                <w:szCs w:val="20"/>
              </w:rPr>
            </w:pPr>
            <w:r w:rsidRPr="00F15B60">
              <w:rPr>
                <w:sz w:val="20"/>
                <w:szCs w:val="20"/>
              </w:rPr>
              <w:t>Actions needed to deliver the target savings</w:t>
            </w:r>
          </w:p>
        </w:tc>
        <w:tc>
          <w:tcPr>
            <w:tcW w:w="5953" w:type="dxa"/>
            <w:gridSpan w:val="3"/>
          </w:tcPr>
          <w:p w:rsidR="006A54F7" w:rsidRDefault="006A54F7" w:rsidP="006A54F7">
            <w:pPr>
              <w:rPr>
                <w:sz w:val="20"/>
                <w:szCs w:val="20"/>
              </w:rPr>
            </w:pPr>
            <w:r>
              <w:rPr>
                <w:sz w:val="20"/>
                <w:szCs w:val="20"/>
              </w:rPr>
              <w:t>A full and statutorily compliant consultation with library users and the wider community on the proposed level of service provision.</w:t>
            </w:r>
          </w:p>
          <w:p w:rsidR="006A54F7" w:rsidRDefault="006A54F7" w:rsidP="006A54F7">
            <w:pPr>
              <w:rPr>
                <w:sz w:val="20"/>
                <w:szCs w:val="20"/>
              </w:rPr>
            </w:pPr>
          </w:p>
          <w:p w:rsidR="006A54F7" w:rsidRDefault="006A54F7" w:rsidP="006A54F7">
            <w:pPr>
              <w:rPr>
                <w:sz w:val="20"/>
                <w:szCs w:val="20"/>
              </w:rPr>
            </w:pPr>
            <w:r>
              <w:rPr>
                <w:sz w:val="20"/>
                <w:szCs w:val="20"/>
              </w:rPr>
              <w:t>Design of the consultation process and materials by 31</w:t>
            </w:r>
            <w:r w:rsidRPr="00782A29">
              <w:rPr>
                <w:sz w:val="20"/>
                <w:szCs w:val="20"/>
                <w:vertAlign w:val="superscript"/>
              </w:rPr>
              <w:t>st</w:t>
            </w:r>
            <w:r>
              <w:rPr>
                <w:sz w:val="20"/>
                <w:szCs w:val="20"/>
              </w:rPr>
              <w:t xml:space="preserve"> December 2015.  A twelve week consultation period will end on 31</w:t>
            </w:r>
            <w:r w:rsidRPr="00F80283">
              <w:rPr>
                <w:sz w:val="20"/>
                <w:szCs w:val="20"/>
                <w:vertAlign w:val="superscript"/>
              </w:rPr>
              <w:t>st</w:t>
            </w:r>
            <w:r>
              <w:rPr>
                <w:sz w:val="20"/>
                <w:szCs w:val="20"/>
              </w:rPr>
              <w:t xml:space="preserve"> March 2016.</w:t>
            </w:r>
          </w:p>
          <w:p w:rsidR="006A54F7" w:rsidRDefault="006A54F7" w:rsidP="006A54F7">
            <w:pPr>
              <w:rPr>
                <w:sz w:val="20"/>
                <w:szCs w:val="20"/>
              </w:rPr>
            </w:pPr>
          </w:p>
          <w:p w:rsidR="006A54F7" w:rsidRDefault="006A54F7" w:rsidP="006A54F7">
            <w:pPr>
              <w:rPr>
                <w:sz w:val="20"/>
                <w:szCs w:val="20"/>
              </w:rPr>
            </w:pPr>
            <w:r>
              <w:rPr>
                <w:sz w:val="20"/>
                <w:szCs w:val="20"/>
              </w:rPr>
              <w:t>A detailed Equality Impact Assessment of the proposal following consultation particularly taking into account the responses from and needs of citizens with protected characteristics.</w:t>
            </w:r>
          </w:p>
          <w:p w:rsidR="006A54F7" w:rsidRDefault="006A54F7" w:rsidP="006A54F7">
            <w:pPr>
              <w:rPr>
                <w:sz w:val="20"/>
                <w:szCs w:val="20"/>
              </w:rPr>
            </w:pPr>
          </w:p>
          <w:p w:rsidR="006A54F7" w:rsidRDefault="006A54F7" w:rsidP="006A54F7">
            <w:pPr>
              <w:rPr>
                <w:sz w:val="20"/>
                <w:szCs w:val="20"/>
              </w:rPr>
            </w:pPr>
            <w:r>
              <w:rPr>
                <w:sz w:val="20"/>
                <w:szCs w:val="20"/>
              </w:rPr>
              <w:t xml:space="preserve">A decision of the Cabinet Member, following consultation, on the final pattern of service provision in May 2016. </w:t>
            </w:r>
          </w:p>
          <w:p w:rsidR="006A54F7" w:rsidRDefault="006A54F7" w:rsidP="006A54F7">
            <w:pPr>
              <w:rPr>
                <w:sz w:val="20"/>
                <w:szCs w:val="20"/>
              </w:rPr>
            </w:pPr>
          </w:p>
          <w:p w:rsidR="006A54F7" w:rsidRDefault="006A54F7" w:rsidP="006A54F7">
            <w:pPr>
              <w:rPr>
                <w:sz w:val="20"/>
                <w:szCs w:val="20"/>
              </w:rPr>
            </w:pPr>
            <w:r>
              <w:rPr>
                <w:sz w:val="20"/>
                <w:szCs w:val="20"/>
              </w:rPr>
              <w:t xml:space="preserve">Following the decision of the Cabinet Member the identification of Libraries for closure and consultation with staff on the related staffing structure in June 2016. </w:t>
            </w:r>
          </w:p>
          <w:p w:rsidR="006A54F7" w:rsidRDefault="006A54F7" w:rsidP="006A54F7">
            <w:pPr>
              <w:rPr>
                <w:sz w:val="20"/>
                <w:szCs w:val="20"/>
              </w:rPr>
            </w:pPr>
          </w:p>
          <w:p w:rsidR="006A54F7" w:rsidRDefault="006A54F7" w:rsidP="006A54F7">
            <w:pPr>
              <w:rPr>
                <w:sz w:val="20"/>
                <w:szCs w:val="20"/>
              </w:rPr>
            </w:pPr>
            <w:r>
              <w:rPr>
                <w:sz w:val="20"/>
                <w:szCs w:val="20"/>
              </w:rPr>
              <w:t>Statutory consultation process with Trades Unions with respect to potential for redundancies, April 2016.</w:t>
            </w:r>
          </w:p>
          <w:p w:rsidR="006A54F7" w:rsidRPr="000F2F86" w:rsidRDefault="006A54F7" w:rsidP="006A54F7">
            <w:pPr>
              <w:rPr>
                <w:sz w:val="20"/>
                <w:szCs w:val="20"/>
              </w:rPr>
            </w:pPr>
            <w:r w:rsidRPr="000F2F86">
              <w:rPr>
                <w:sz w:val="20"/>
                <w:szCs w:val="20"/>
              </w:rPr>
              <w:t xml:space="preserve"> </w:t>
            </w:r>
          </w:p>
        </w:tc>
      </w:tr>
      <w:tr w:rsidR="006A54F7" w:rsidRPr="002B630A" w:rsidTr="00C116C8">
        <w:tc>
          <w:tcPr>
            <w:tcW w:w="3256" w:type="dxa"/>
          </w:tcPr>
          <w:p w:rsidR="006A54F7" w:rsidRPr="00F15B60" w:rsidRDefault="006A54F7" w:rsidP="006A54F7">
            <w:pPr>
              <w:rPr>
                <w:sz w:val="20"/>
                <w:szCs w:val="20"/>
              </w:rPr>
            </w:pPr>
            <w:r>
              <w:rPr>
                <w:sz w:val="20"/>
                <w:szCs w:val="20"/>
              </w:rPr>
              <w:t>Equality Analysis</w:t>
            </w:r>
          </w:p>
        </w:tc>
        <w:tc>
          <w:tcPr>
            <w:tcW w:w="5953" w:type="dxa"/>
            <w:gridSpan w:val="3"/>
          </w:tcPr>
          <w:p w:rsidR="006A54F7" w:rsidRDefault="00DA1A42" w:rsidP="006A54F7">
            <w:pPr>
              <w:rPr>
                <w:sz w:val="20"/>
                <w:szCs w:val="20"/>
              </w:rPr>
            </w:pPr>
            <w:hyperlink r:id="rId6" w:history="1">
              <w:r>
                <w:rPr>
                  <w:rStyle w:val="Hyperlink"/>
                  <w:sz w:val="20"/>
                  <w:szCs w:val="20"/>
                </w:rPr>
                <w:t>Click here to view document</w:t>
              </w:r>
            </w:hyperlink>
          </w:p>
          <w:p w:rsidR="00DA1A42" w:rsidRPr="006E2516" w:rsidRDefault="00DA1A42" w:rsidP="006A54F7">
            <w:pPr>
              <w:rPr>
                <w:sz w:val="20"/>
                <w:szCs w:val="20"/>
              </w:rPr>
            </w:pPr>
            <w:bookmarkStart w:id="0" w:name="_GoBack"/>
            <w:bookmarkEnd w:id="0"/>
          </w:p>
        </w:tc>
      </w:tr>
    </w:tbl>
    <w:p w:rsidR="005309E8" w:rsidRDefault="005309E8" w:rsidP="00DD7A39">
      <w:pPr>
        <w:spacing w:after="0"/>
        <w:rPr>
          <w:b/>
          <w:sz w:val="20"/>
          <w:szCs w:val="20"/>
        </w:rPr>
      </w:pPr>
    </w:p>
    <w:p w:rsidR="00DD7A39" w:rsidRPr="008A21BF" w:rsidRDefault="00DD7A39" w:rsidP="00DD7A39">
      <w:pPr>
        <w:spacing w:after="0"/>
        <w:rPr>
          <w:b/>
          <w:sz w:val="20"/>
          <w:szCs w:val="20"/>
        </w:rPr>
      </w:pPr>
      <w:r w:rsidRPr="008A21BF">
        <w:rPr>
          <w:b/>
          <w:sz w:val="20"/>
          <w:szCs w:val="20"/>
        </w:rPr>
        <w:t>What does this service deliver?</w:t>
      </w:r>
    </w:p>
    <w:p w:rsidR="00DD7A39" w:rsidRPr="008A21BF" w:rsidRDefault="00DD7A39" w:rsidP="00DD7A39">
      <w:pPr>
        <w:spacing w:after="0"/>
        <w:rPr>
          <w:b/>
          <w:sz w:val="20"/>
          <w:szCs w:val="20"/>
        </w:rPr>
      </w:pPr>
    </w:p>
    <w:p w:rsidR="00DD7A39" w:rsidRPr="008A21BF" w:rsidRDefault="00DD7A39" w:rsidP="00DD7A39">
      <w:pPr>
        <w:spacing w:after="0"/>
        <w:rPr>
          <w:rFonts w:cs="Helvetica"/>
          <w:sz w:val="20"/>
          <w:szCs w:val="20"/>
          <w:lang w:val="en"/>
        </w:rPr>
      </w:pPr>
      <w:r w:rsidRPr="008A21BF">
        <w:rPr>
          <w:b/>
          <w:sz w:val="20"/>
          <w:szCs w:val="20"/>
        </w:rPr>
        <w:t>Public Libraries</w:t>
      </w:r>
      <w:r w:rsidRPr="008A21BF">
        <w:rPr>
          <w:sz w:val="20"/>
          <w:szCs w:val="20"/>
        </w:rPr>
        <w:t xml:space="preserve"> – The Council provides a library service from 74 public libraries in most of the County's largest communities. </w:t>
      </w:r>
      <w:r w:rsidRPr="008A21BF">
        <w:rPr>
          <w:rFonts w:cs="Helvetica"/>
          <w:sz w:val="20"/>
          <w:szCs w:val="20"/>
          <w:lang w:val="en"/>
        </w:rPr>
        <w:t>The council provides library services from branches and mobile libraries, making a difference through accessible reading, learning and information. There are 500,000 Lancashire citizens registered as Library users, equivalent to approximately a third of the population of the county.</w:t>
      </w:r>
    </w:p>
    <w:p w:rsidR="00DD7A39" w:rsidRPr="008A21BF" w:rsidRDefault="00DD7A39" w:rsidP="00DD7A39">
      <w:pPr>
        <w:spacing w:after="0"/>
        <w:rPr>
          <w:sz w:val="20"/>
          <w:szCs w:val="20"/>
        </w:rPr>
      </w:pPr>
    </w:p>
    <w:p w:rsidR="00DD7A39" w:rsidRPr="008A21BF" w:rsidRDefault="00DD7A39" w:rsidP="00DD7A39">
      <w:pPr>
        <w:spacing w:after="0"/>
        <w:rPr>
          <w:sz w:val="20"/>
          <w:szCs w:val="20"/>
          <w:lang w:val="en"/>
        </w:rPr>
      </w:pPr>
      <w:r w:rsidRPr="008A21BF">
        <w:rPr>
          <w:b/>
          <w:sz w:val="20"/>
          <w:szCs w:val="20"/>
        </w:rPr>
        <w:t>Home Library Service</w:t>
      </w:r>
      <w:r w:rsidRPr="008A21BF">
        <w:rPr>
          <w:sz w:val="20"/>
          <w:szCs w:val="20"/>
        </w:rPr>
        <w:t xml:space="preserve"> - </w:t>
      </w:r>
      <w:r w:rsidRPr="008A21BF">
        <w:rPr>
          <w:sz w:val="20"/>
          <w:szCs w:val="20"/>
          <w:lang w:val="en"/>
        </w:rPr>
        <w:t>The home library service is provided free of charge if you are unable to get to a library building because of your age, disability or ill health. Books and audio visual material are chosen by library staff for friends and relatives to collect. Loans can be delivered by volunteers if satisfactory arrangements for collection cannot be made. The home library service offers the loan of books, audio visual material and a request service.</w:t>
      </w:r>
    </w:p>
    <w:p w:rsidR="00DD7A39" w:rsidRPr="008A21BF" w:rsidRDefault="00DD7A39" w:rsidP="00DD7A39">
      <w:pPr>
        <w:spacing w:after="0"/>
        <w:rPr>
          <w:sz w:val="20"/>
          <w:szCs w:val="20"/>
        </w:rPr>
      </w:pPr>
    </w:p>
    <w:p w:rsidR="00984528" w:rsidRDefault="00DD7A39" w:rsidP="005D09E1">
      <w:pPr>
        <w:spacing w:after="0"/>
        <w:rPr>
          <w:sz w:val="20"/>
          <w:szCs w:val="20"/>
          <w:lang w:val="en"/>
        </w:rPr>
      </w:pPr>
      <w:r w:rsidRPr="00A46C93">
        <w:rPr>
          <w:b/>
          <w:sz w:val="20"/>
          <w:szCs w:val="20"/>
        </w:rPr>
        <w:t>A Mobile Library Service</w:t>
      </w:r>
      <w:r w:rsidRPr="00A46C93">
        <w:rPr>
          <w:sz w:val="20"/>
          <w:szCs w:val="20"/>
        </w:rPr>
        <w:t xml:space="preserve"> – </w:t>
      </w:r>
      <w:r w:rsidR="00BC2125">
        <w:rPr>
          <w:sz w:val="20"/>
          <w:szCs w:val="20"/>
        </w:rPr>
        <w:t xml:space="preserve">Six </w:t>
      </w:r>
      <w:r w:rsidRPr="00A46C93">
        <w:rPr>
          <w:sz w:val="20"/>
          <w:szCs w:val="20"/>
          <w:lang w:val="en"/>
        </w:rPr>
        <w:t>Mobile library vehicles cover the whole of Lancashire,</w:t>
      </w:r>
      <w:r w:rsidR="006E2516" w:rsidRPr="00A46C93">
        <w:rPr>
          <w:sz w:val="20"/>
          <w:szCs w:val="20"/>
          <w:lang w:val="en"/>
        </w:rPr>
        <w:t xml:space="preserve"> </w:t>
      </w:r>
      <w:r w:rsidRPr="00A46C93">
        <w:rPr>
          <w:sz w:val="20"/>
          <w:szCs w:val="20"/>
          <w:lang w:val="en"/>
        </w:rPr>
        <w:t>serving over a thousand stops on a fortnightly basis.</w:t>
      </w:r>
    </w:p>
    <w:p w:rsidR="003A2B17" w:rsidRDefault="003A2B17" w:rsidP="00DD7A39"/>
    <w:sectPr w:rsidR="003A2B17" w:rsidSect="006A1AE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30AE"/>
    <w:multiLevelType w:val="hybridMultilevel"/>
    <w:tmpl w:val="64187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36BE6"/>
    <w:multiLevelType w:val="hybridMultilevel"/>
    <w:tmpl w:val="E514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21646"/>
    <w:multiLevelType w:val="hybridMultilevel"/>
    <w:tmpl w:val="79D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30397"/>
    <w:multiLevelType w:val="hybridMultilevel"/>
    <w:tmpl w:val="C5723C22"/>
    <w:lvl w:ilvl="0" w:tplc="0AF819E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D6274"/>
    <w:multiLevelType w:val="hybridMultilevel"/>
    <w:tmpl w:val="A0D81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737A64"/>
    <w:multiLevelType w:val="hybridMultilevel"/>
    <w:tmpl w:val="642EC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370F7"/>
    <w:multiLevelType w:val="hybridMultilevel"/>
    <w:tmpl w:val="8E1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16D9C"/>
    <w:rsid w:val="00054D57"/>
    <w:rsid w:val="00070D3D"/>
    <w:rsid w:val="00084304"/>
    <w:rsid w:val="000875E0"/>
    <w:rsid w:val="000D48EA"/>
    <w:rsid w:val="000D5EDD"/>
    <w:rsid w:val="000E21C6"/>
    <w:rsid w:val="000E2BAA"/>
    <w:rsid w:val="000F2F86"/>
    <w:rsid w:val="00144CA6"/>
    <w:rsid w:val="00153D13"/>
    <w:rsid w:val="001774BD"/>
    <w:rsid w:val="001B6643"/>
    <w:rsid w:val="001C156F"/>
    <w:rsid w:val="001E172B"/>
    <w:rsid w:val="002246D2"/>
    <w:rsid w:val="00241D35"/>
    <w:rsid w:val="00245970"/>
    <w:rsid w:val="00280EFB"/>
    <w:rsid w:val="00285AAD"/>
    <w:rsid w:val="002A3E9F"/>
    <w:rsid w:val="002B630A"/>
    <w:rsid w:val="00312F09"/>
    <w:rsid w:val="00317315"/>
    <w:rsid w:val="0037288A"/>
    <w:rsid w:val="003869AC"/>
    <w:rsid w:val="003A2B17"/>
    <w:rsid w:val="00403D58"/>
    <w:rsid w:val="00411DA3"/>
    <w:rsid w:val="004312CD"/>
    <w:rsid w:val="00443967"/>
    <w:rsid w:val="00452C66"/>
    <w:rsid w:val="00464F42"/>
    <w:rsid w:val="0046604F"/>
    <w:rsid w:val="00483521"/>
    <w:rsid w:val="00487956"/>
    <w:rsid w:val="00487F0F"/>
    <w:rsid w:val="004D1849"/>
    <w:rsid w:val="004D588F"/>
    <w:rsid w:val="004D7279"/>
    <w:rsid w:val="004E121B"/>
    <w:rsid w:val="005309E8"/>
    <w:rsid w:val="0053100F"/>
    <w:rsid w:val="005957E5"/>
    <w:rsid w:val="005B386D"/>
    <w:rsid w:val="005C3A55"/>
    <w:rsid w:val="005D09E1"/>
    <w:rsid w:val="005F320F"/>
    <w:rsid w:val="00604C13"/>
    <w:rsid w:val="0064633C"/>
    <w:rsid w:val="0065624A"/>
    <w:rsid w:val="0066742C"/>
    <w:rsid w:val="00692710"/>
    <w:rsid w:val="0069592C"/>
    <w:rsid w:val="006967FF"/>
    <w:rsid w:val="006A1AEE"/>
    <w:rsid w:val="006A54F7"/>
    <w:rsid w:val="006B2CE0"/>
    <w:rsid w:val="006E2516"/>
    <w:rsid w:val="006E582D"/>
    <w:rsid w:val="006F35E8"/>
    <w:rsid w:val="006F58CE"/>
    <w:rsid w:val="00711875"/>
    <w:rsid w:val="00716A4F"/>
    <w:rsid w:val="0073722B"/>
    <w:rsid w:val="00742586"/>
    <w:rsid w:val="00744D93"/>
    <w:rsid w:val="007467AF"/>
    <w:rsid w:val="00755693"/>
    <w:rsid w:val="00782A29"/>
    <w:rsid w:val="007856F9"/>
    <w:rsid w:val="007A0E8E"/>
    <w:rsid w:val="007D00B0"/>
    <w:rsid w:val="007D2F78"/>
    <w:rsid w:val="007D6CED"/>
    <w:rsid w:val="008039DA"/>
    <w:rsid w:val="008252EB"/>
    <w:rsid w:val="00846A4F"/>
    <w:rsid w:val="008B79FE"/>
    <w:rsid w:val="008E30D2"/>
    <w:rsid w:val="009304C0"/>
    <w:rsid w:val="00974928"/>
    <w:rsid w:val="00981810"/>
    <w:rsid w:val="00984528"/>
    <w:rsid w:val="009928E6"/>
    <w:rsid w:val="009C4647"/>
    <w:rsid w:val="009E0E1B"/>
    <w:rsid w:val="009E2D95"/>
    <w:rsid w:val="00A33171"/>
    <w:rsid w:val="00A46C93"/>
    <w:rsid w:val="00A61F59"/>
    <w:rsid w:val="00A91829"/>
    <w:rsid w:val="00AB7C7D"/>
    <w:rsid w:val="00AE14AD"/>
    <w:rsid w:val="00AE7339"/>
    <w:rsid w:val="00B12A34"/>
    <w:rsid w:val="00B23F32"/>
    <w:rsid w:val="00B25405"/>
    <w:rsid w:val="00B2628C"/>
    <w:rsid w:val="00B26FCE"/>
    <w:rsid w:val="00B325D0"/>
    <w:rsid w:val="00B819B1"/>
    <w:rsid w:val="00BC2125"/>
    <w:rsid w:val="00BE1BC0"/>
    <w:rsid w:val="00BE44C4"/>
    <w:rsid w:val="00C109F3"/>
    <w:rsid w:val="00C116C8"/>
    <w:rsid w:val="00C11E4D"/>
    <w:rsid w:val="00C3384B"/>
    <w:rsid w:val="00C50F5C"/>
    <w:rsid w:val="00C55CA5"/>
    <w:rsid w:val="00C76C67"/>
    <w:rsid w:val="00C844FA"/>
    <w:rsid w:val="00C925B6"/>
    <w:rsid w:val="00CA10C4"/>
    <w:rsid w:val="00CA2B52"/>
    <w:rsid w:val="00CB7956"/>
    <w:rsid w:val="00CE6DB6"/>
    <w:rsid w:val="00D45475"/>
    <w:rsid w:val="00D53D69"/>
    <w:rsid w:val="00D566CB"/>
    <w:rsid w:val="00D64925"/>
    <w:rsid w:val="00D71E03"/>
    <w:rsid w:val="00D91624"/>
    <w:rsid w:val="00DA1A42"/>
    <w:rsid w:val="00DA1BB2"/>
    <w:rsid w:val="00DC3AA1"/>
    <w:rsid w:val="00DD264A"/>
    <w:rsid w:val="00DD7A39"/>
    <w:rsid w:val="00DE7DDF"/>
    <w:rsid w:val="00E10BEB"/>
    <w:rsid w:val="00E11356"/>
    <w:rsid w:val="00E17B81"/>
    <w:rsid w:val="00E32D62"/>
    <w:rsid w:val="00E56AA9"/>
    <w:rsid w:val="00E757C2"/>
    <w:rsid w:val="00E776C7"/>
    <w:rsid w:val="00E80B7B"/>
    <w:rsid w:val="00E90485"/>
    <w:rsid w:val="00EA1D7C"/>
    <w:rsid w:val="00ED1393"/>
    <w:rsid w:val="00ED4A21"/>
    <w:rsid w:val="00ED528A"/>
    <w:rsid w:val="00F15B60"/>
    <w:rsid w:val="00F2160E"/>
    <w:rsid w:val="00F26FCF"/>
    <w:rsid w:val="00F679F6"/>
    <w:rsid w:val="00F67BFD"/>
    <w:rsid w:val="00F80283"/>
    <w:rsid w:val="00F9314E"/>
    <w:rsid w:val="00F942EA"/>
    <w:rsid w:val="00FA6D71"/>
    <w:rsid w:val="00FA744B"/>
    <w:rsid w:val="00FB61AD"/>
    <w:rsid w:val="00FB75C9"/>
    <w:rsid w:val="00FE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semiHidden/>
    <w:unhideWhenUsed/>
    <w:rsid w:val="00DA1A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1B03-6401-4971-9963-D6376F0B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48</cp:revision>
  <cp:lastPrinted>2015-11-02T08:50:00Z</cp:lastPrinted>
  <dcterms:created xsi:type="dcterms:W3CDTF">2015-10-29T16:04:00Z</dcterms:created>
  <dcterms:modified xsi:type="dcterms:W3CDTF">2015-11-13T18:16:00Z</dcterms:modified>
</cp:coreProperties>
</file>